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EBF1" w14:textId="77777777" w:rsidR="004354D6" w:rsidRDefault="004354D6" w:rsidP="004354D6">
      <w:r>
        <w:rPr>
          <w:b/>
          <w:bCs/>
        </w:rPr>
        <w:t>Survey Methodology</w:t>
      </w:r>
    </w:p>
    <w:p w14:paraId="59A76EAA" w14:textId="77777777" w:rsidR="000A4DCF" w:rsidRDefault="000A4DCF" w:rsidP="002A45C4">
      <w:pPr>
        <w:jc w:val="both"/>
      </w:pPr>
    </w:p>
    <w:p w14:paraId="0331C953" w14:textId="08EBD06C" w:rsidR="00A216D1" w:rsidRPr="000C5A32" w:rsidRDefault="000C5A32" w:rsidP="002A45C4">
      <w:pPr>
        <w:jc w:val="both"/>
      </w:pPr>
      <w:r w:rsidRPr="00E7376B">
        <w:t xml:space="preserve">New Bridge Strategy and FM3 Research surveyed </w:t>
      </w:r>
      <w:r w:rsidR="00FF5C20">
        <w:t>5</w:t>
      </w:r>
      <w:r w:rsidRPr="00E7376B">
        <w:t xml:space="preserve">00 </w:t>
      </w:r>
      <w:r w:rsidRPr="00A71D1D">
        <w:t>registered voters</w:t>
      </w:r>
      <w:r w:rsidRPr="00E7376B">
        <w:t xml:space="preserve"> </w:t>
      </w:r>
      <w:r w:rsidR="00375411">
        <w:t xml:space="preserve">throughout </w:t>
      </w:r>
      <w:r w:rsidR="00FF5C20">
        <w:t>Montana</w:t>
      </w:r>
      <w:r w:rsidR="00C45951">
        <w:t xml:space="preserve"> on</w:t>
      </w:r>
      <w:r w:rsidRPr="00E7376B">
        <w:t xml:space="preserve"> behalf of The Pew Charitable Trusts. </w:t>
      </w:r>
      <w:r w:rsidR="00375411">
        <w:t>They</w:t>
      </w:r>
      <w:r w:rsidRPr="00E7376B">
        <w:t xml:space="preserve"> conducted live </w:t>
      </w:r>
      <w:r w:rsidR="00375411">
        <w:t>computer-assisted telephone</w:t>
      </w:r>
      <w:r w:rsidR="00F762C6">
        <w:t xml:space="preserve"> </w:t>
      </w:r>
      <w:r w:rsidRPr="00E7376B">
        <w:t xml:space="preserve">interviews in English </w:t>
      </w:r>
      <w:r w:rsidR="00375411">
        <w:t xml:space="preserve">from </w:t>
      </w:r>
      <w:r w:rsidR="00FF5C20">
        <w:t>November 17-22</w:t>
      </w:r>
      <w:r w:rsidRPr="00E7376B">
        <w:t>, 20</w:t>
      </w:r>
      <w:r w:rsidR="00FF5C20">
        <w:t>20</w:t>
      </w:r>
      <w:r w:rsidRPr="00E7376B">
        <w:t xml:space="preserve">. </w:t>
      </w:r>
      <w:r w:rsidR="00FF5C20">
        <w:t>Sixty-nine</w:t>
      </w:r>
      <w:r w:rsidRPr="00E7376B">
        <w:t xml:space="preserve"> percent of interviews were completed on cellphones</w:t>
      </w:r>
      <w:r w:rsidR="00375411">
        <w:t xml:space="preserve"> and </w:t>
      </w:r>
      <w:r w:rsidR="00FF5C20">
        <w:t>31</w:t>
      </w:r>
      <w:r w:rsidR="00375411">
        <w:t xml:space="preserve"> percent on landlines</w:t>
      </w:r>
      <w:r w:rsidRPr="00E7376B">
        <w:t xml:space="preserve">. The margin of error is plus or minus </w:t>
      </w:r>
      <w:r w:rsidR="00FF5C20">
        <w:t>4.38</w:t>
      </w:r>
      <w:r w:rsidRPr="00E7376B">
        <w:t xml:space="preserve"> percentage points at the 95 percent level of confidence. The sampling error is dependent on sample size, so the margin of error is higher for subgroups.</w:t>
      </w:r>
      <w:r w:rsidR="002F308D">
        <w:t xml:space="preserve"> </w:t>
      </w:r>
      <w:r w:rsidR="002F308D" w:rsidRPr="002F308D">
        <w:t>The</w:t>
      </w:r>
      <w:r w:rsidR="00E10F1E">
        <w:t xml:space="preserve"> margin of error has not been</w:t>
      </w:r>
      <w:r w:rsidR="002F308D" w:rsidRPr="002F308D">
        <w:t xml:space="preserve"> adjuste</w:t>
      </w:r>
      <w:r w:rsidR="00E10F1E">
        <w:t>d</w:t>
      </w:r>
      <w:r w:rsidR="002F308D" w:rsidRPr="002F308D">
        <w:t xml:space="preserve"> for design effects.</w:t>
      </w:r>
    </w:p>
    <w:p w14:paraId="0733C343" w14:textId="67D686CD" w:rsidR="00EF5BB5" w:rsidRDefault="00EF5BB5" w:rsidP="002A45C4">
      <w:pPr>
        <w:jc w:val="both"/>
      </w:pPr>
    </w:p>
    <w:p w14:paraId="631F5EE8" w14:textId="66BCA4E9" w:rsidR="00F02960" w:rsidRDefault="00A71D1D" w:rsidP="002A45C4">
      <w:pPr>
        <w:jc w:val="both"/>
      </w:pPr>
      <w:r>
        <w:t xml:space="preserve">The sample for this survey was drawn from registered voter files </w:t>
      </w:r>
      <w:r w:rsidR="00E61763">
        <w:t xml:space="preserve">provided by a </w:t>
      </w:r>
      <w:r w:rsidR="00E61763" w:rsidRPr="00E61763">
        <w:t>private list vendor who specializes in providing Registration Based Sampl</w:t>
      </w:r>
      <w:r w:rsidR="001A46DB">
        <w:t>e</w:t>
      </w:r>
      <w:r>
        <w:t xml:space="preserve">. The records are multi-sourced from state voter files and updated at least monthly. Registered voter records were selected randomly from the file for inclusion in the study. </w:t>
      </w:r>
      <w:r w:rsidR="00965372">
        <w:t>Interviewer</w:t>
      </w:r>
      <w:r w:rsidR="00375411">
        <w:t>s asked for the voter on file.</w:t>
      </w:r>
      <w:r w:rsidR="00FB6BDE">
        <w:t xml:space="preserve"> </w:t>
      </w:r>
      <w:r w:rsidR="00375411">
        <w:t>If that individual was not available</w:t>
      </w:r>
      <w:r w:rsidR="00E61763">
        <w:t>,</w:t>
      </w:r>
      <w:r w:rsidR="00375411">
        <w:t xml:space="preserve"> interviewers </w:t>
      </w:r>
      <w:proofErr w:type="gramStart"/>
      <w:r w:rsidR="00E10F1E">
        <w:t xml:space="preserve">were allowed </w:t>
      </w:r>
      <w:r w:rsidR="00375411">
        <w:t>to</w:t>
      </w:r>
      <w:proofErr w:type="gramEnd"/>
      <w:r w:rsidR="00375411">
        <w:t xml:space="preserve"> ask for another adult in the household who is registered to vote at that address (on landline) or in that state (on cellphone)</w:t>
      </w:r>
      <w:r w:rsidR="001255A3">
        <w:t>.</w:t>
      </w:r>
      <w:r w:rsidR="00375411">
        <w:t xml:space="preserve"> In all cases, interviewers confirmed the respondent was registered to vote in order to participate. </w:t>
      </w:r>
      <w:r w:rsidR="001255A3">
        <w:t xml:space="preserve">Each number in the sample was called four times before being retired. </w:t>
      </w:r>
      <w:r w:rsidR="00895F90" w:rsidRPr="00EA2525">
        <w:t xml:space="preserve">The response rate for this study was 1.7% </w:t>
      </w:r>
      <w:r w:rsidR="00F02960">
        <w:t>(</w:t>
      </w:r>
      <w:r w:rsidR="002B0973">
        <w:t xml:space="preserve">using </w:t>
      </w:r>
      <w:hyperlink r:id="rId9" w:history="1">
        <w:r w:rsidR="00845AE1" w:rsidRPr="00991DD1">
          <w:rPr>
            <w:rStyle w:val="Hyperlink"/>
          </w:rPr>
          <w:t>AAPOR</w:t>
        </w:r>
        <w:r w:rsidR="00991DD1" w:rsidRPr="00991DD1">
          <w:rPr>
            <w:rStyle w:val="Hyperlink"/>
          </w:rPr>
          <w:t>’s</w:t>
        </w:r>
        <w:r w:rsidR="00991DD1">
          <w:rPr>
            <w:rStyle w:val="Hyperlink"/>
          </w:rPr>
          <w:t xml:space="preserve"> RR3</w:t>
        </w:r>
      </w:hyperlink>
      <w:r w:rsidR="00125522" w:rsidRPr="00125522">
        <w:rPr>
          <w:rStyle w:val="Hyperlink"/>
          <w:color w:val="auto"/>
          <w:u w:val="none"/>
        </w:rPr>
        <w:t>; see Table 1</w:t>
      </w:r>
      <w:r w:rsidR="00991DD1">
        <w:t xml:space="preserve">). </w:t>
      </w:r>
    </w:p>
    <w:p w14:paraId="387451EB" w14:textId="1FD57FB5" w:rsidR="00375411" w:rsidRDefault="00375411" w:rsidP="002A45C4">
      <w:pPr>
        <w:jc w:val="both"/>
      </w:pPr>
    </w:p>
    <w:p w14:paraId="3BA696B8" w14:textId="77777777" w:rsidR="006830D7" w:rsidRDefault="00125522" w:rsidP="002A45C4">
      <w:pPr>
        <w:jc w:val="both"/>
      </w:pPr>
      <w:r>
        <w:t xml:space="preserve">Table 1 Response Rate and </w:t>
      </w:r>
      <w:r w:rsidR="005018A3">
        <w:t>Dispositions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7195"/>
        <w:gridCol w:w="900"/>
      </w:tblGrid>
      <w:tr w:rsidR="006830D7" w:rsidRPr="006830D7" w14:paraId="2B5C2191" w14:textId="77777777" w:rsidTr="006830D7">
        <w:trPr>
          <w:trHeight w:val="25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557C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>Interview (Category 1)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66D0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830D7" w:rsidRPr="006830D7" w14:paraId="5F5E4AEF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6FA7" w14:textId="0B6785F8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Complete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0115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</w:tr>
      <w:tr w:rsidR="006830D7" w:rsidRPr="006830D7" w14:paraId="3E697A7F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9787" w14:textId="79C5A474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Partial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F4AD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</w:tr>
      <w:tr w:rsidR="006830D7" w:rsidRPr="006830D7" w14:paraId="508BEBD2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3852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>Eligible, non-interview (Category 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87FE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830D7" w:rsidRPr="006830D7" w14:paraId="0A57D407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BB3F" w14:textId="01E89ECB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Refusal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1F33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2060</w:t>
            </w:r>
          </w:p>
        </w:tc>
      </w:tr>
      <w:tr w:rsidR="006830D7" w:rsidRPr="006830D7" w14:paraId="16A974EE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C49E" w14:textId="2B963B8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Household-level refusal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C475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559</w:t>
            </w:r>
          </w:p>
        </w:tc>
      </w:tr>
      <w:tr w:rsidR="006830D7" w:rsidRPr="006830D7" w14:paraId="108630F7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7951" w14:textId="33940D9B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Break off/ Implicit refusal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14BC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116</w:t>
            </w:r>
          </w:p>
        </w:tc>
      </w:tr>
      <w:tr w:rsidR="006830D7" w:rsidRPr="006830D7" w14:paraId="7D67C227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11DD8" w14:textId="154EC2EA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Respondent never available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9E18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434</w:t>
            </w:r>
          </w:p>
        </w:tc>
      </w:tr>
      <w:tr w:rsidR="006830D7" w:rsidRPr="006830D7" w14:paraId="422261A3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3E4B" w14:textId="57DBD125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Language problem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7AEC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</w:tr>
      <w:tr w:rsidR="006830D7" w:rsidRPr="006830D7" w14:paraId="069AC767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8301" w14:textId="551AB2F3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Location/Activity not allowing interview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A092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91</w:t>
            </w:r>
          </w:p>
        </w:tc>
      </w:tr>
      <w:tr w:rsidR="006830D7" w:rsidRPr="006830D7" w14:paraId="0C24D55B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5D08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>Unknown eligibility, non-interview (Category 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F8F7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830D7" w:rsidRPr="006830D7" w14:paraId="27E76057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AB51" w14:textId="538F947E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Always busy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4985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468</w:t>
            </w:r>
          </w:p>
        </w:tc>
      </w:tr>
      <w:tr w:rsidR="006830D7" w:rsidRPr="006830D7" w14:paraId="04879B56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A82B" w14:textId="245E5FD8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No answer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6D2A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30061</w:t>
            </w:r>
          </w:p>
        </w:tc>
      </w:tr>
      <w:tr w:rsidR="006830D7" w:rsidRPr="006830D7" w14:paraId="59A11C01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D2C2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Answering machine-don't know if household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563D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13376</w:t>
            </w:r>
          </w:p>
        </w:tc>
      </w:tr>
      <w:tr w:rsidR="006830D7" w:rsidRPr="006830D7" w14:paraId="00E9A106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34E6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Call blocking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0990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</w:tr>
      <w:tr w:rsidR="006830D7" w:rsidRPr="006830D7" w14:paraId="4DB56DCB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1024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No screener completed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E7F5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3140</w:t>
            </w:r>
          </w:p>
        </w:tc>
      </w:tr>
      <w:tr w:rsidR="006830D7" w:rsidRPr="006830D7" w14:paraId="74F973DA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E75A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>Not eligible (Category 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4309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830D7" w:rsidRPr="006830D7" w14:paraId="6480A1CB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6C41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Fax/data line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CF69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</w:tr>
      <w:tr w:rsidR="006830D7" w:rsidRPr="006830D7" w14:paraId="24822E7A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E0DB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Non-working number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11EA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</w:tr>
      <w:tr w:rsidR="006830D7" w:rsidRPr="006830D7" w14:paraId="673AD812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CA73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Disconnected number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663C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2844</w:t>
            </w:r>
          </w:p>
        </w:tc>
      </w:tr>
      <w:tr w:rsidR="006830D7" w:rsidRPr="006830D7" w14:paraId="721F5B15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274B" w14:textId="37932E2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830D7">
              <w:rPr>
                <w:rFonts w:eastAsia="Times New Roman" w:cstheme="minorHAnsi"/>
                <w:sz w:val="20"/>
                <w:szCs w:val="20"/>
              </w:rPr>
              <w:t>Nonresidence</w:t>
            </w:r>
            <w:proofErr w:type="spellEnd"/>
            <w:r w:rsidRPr="006830D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52A4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</w:tr>
      <w:tr w:rsidR="006830D7" w:rsidRPr="006830D7" w14:paraId="4730C8F3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17FC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No eligible respondent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F2FD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</w:tr>
      <w:tr w:rsidR="006830D7" w:rsidRPr="006830D7" w14:paraId="00E12DBD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E1A1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Quota filled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9EAC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292</w:t>
            </w:r>
          </w:p>
        </w:tc>
      </w:tr>
      <w:tr w:rsidR="006830D7" w:rsidRPr="006830D7" w14:paraId="76FF733A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6BDF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>Total sample used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3D68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54505</w:t>
            </w:r>
          </w:p>
        </w:tc>
      </w:tr>
      <w:tr w:rsidR="006830D7" w:rsidRPr="006830D7" w14:paraId="29B6F966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7DF8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I=Complete Interviews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5D58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</w:tr>
      <w:tr w:rsidR="006830D7" w:rsidRPr="006830D7" w14:paraId="6F203DFF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7E6A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P=Partial Interviews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A9D6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</w:tr>
      <w:tr w:rsidR="006830D7" w:rsidRPr="006830D7" w14:paraId="75AA43F6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55E0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lastRenderedPageBreak/>
              <w:t>R=Refusal and break off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3E21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2735</w:t>
            </w:r>
          </w:p>
        </w:tc>
      </w:tr>
      <w:tr w:rsidR="006830D7" w:rsidRPr="006830D7" w14:paraId="32075F1A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3B9D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NC=</w:t>
            </w:r>
            <w:proofErr w:type="spellStart"/>
            <w:proofErr w:type="gramStart"/>
            <w:r w:rsidRPr="006830D7">
              <w:rPr>
                <w:rFonts w:eastAsia="Times New Roman" w:cstheme="minorHAnsi"/>
                <w:sz w:val="20"/>
                <w:szCs w:val="20"/>
              </w:rPr>
              <w:t>Non Contact</w:t>
            </w:r>
            <w:proofErr w:type="spellEnd"/>
            <w:proofErr w:type="gramEnd"/>
            <w:r w:rsidRPr="006830D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CAA0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434</w:t>
            </w:r>
          </w:p>
        </w:tc>
      </w:tr>
      <w:tr w:rsidR="006830D7" w:rsidRPr="006830D7" w14:paraId="13B740BF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82F67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O=Other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5CC9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</w:tr>
      <w:tr w:rsidR="006830D7" w:rsidRPr="006830D7" w14:paraId="3B33123D" w14:textId="77777777" w:rsidTr="006830D7">
        <w:trPr>
          <w:trHeight w:val="459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B9BED" w14:textId="3DC0B28D" w:rsidR="006830D7" w:rsidRPr="006830D7" w:rsidRDefault="000A4DCF" w:rsidP="006830D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e=T</w:t>
            </w:r>
            <w:r w:rsidR="006830D7" w:rsidRPr="006830D7">
              <w:rPr>
                <w:rFonts w:eastAsia="Times New Roman" w:cstheme="minorHAnsi"/>
                <w:sz w:val="20"/>
                <w:szCs w:val="20"/>
              </w:rPr>
              <w:t>he estimated proportion of cases of unknown eligibility that are eligible (Category 1+Category 2) /(Category 1+Category 2+Category 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CA50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0.530</w:t>
            </w:r>
          </w:p>
        </w:tc>
      </w:tr>
      <w:tr w:rsidR="006830D7" w:rsidRPr="006830D7" w14:paraId="1735277D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8A53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UH=Unknown Household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55A9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44166</w:t>
            </w:r>
          </w:p>
        </w:tc>
      </w:tr>
      <w:tr w:rsidR="006830D7" w:rsidRPr="006830D7" w14:paraId="203EF742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99E2" w14:textId="77777777" w:rsidR="006830D7" w:rsidRPr="006830D7" w:rsidRDefault="006830D7" w:rsidP="006830D7">
            <w:pPr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 xml:space="preserve">UO=Unknown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6B23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3140</w:t>
            </w:r>
          </w:p>
        </w:tc>
      </w:tr>
      <w:tr w:rsidR="006830D7" w:rsidRPr="006830D7" w14:paraId="4DA7C090" w14:textId="77777777" w:rsidTr="006830D7">
        <w:trPr>
          <w:trHeight w:val="25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054C7" w14:textId="77777777" w:rsidR="006830D7" w:rsidRPr="006830D7" w:rsidRDefault="006830D7" w:rsidP="006830D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0D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Response Rate 3: </w:t>
            </w:r>
            <w:r w:rsidRPr="006830D7">
              <w:rPr>
                <w:rFonts w:eastAsia="Times New Roman" w:cstheme="minorHAnsi"/>
                <w:sz w:val="20"/>
                <w:szCs w:val="20"/>
              </w:rPr>
              <w:t>I/((I+</w:t>
            </w:r>
            <w:proofErr w:type="gramStart"/>
            <w:r w:rsidRPr="006830D7">
              <w:rPr>
                <w:rFonts w:eastAsia="Times New Roman" w:cstheme="minorHAnsi"/>
                <w:sz w:val="20"/>
                <w:szCs w:val="20"/>
              </w:rPr>
              <w:t>P)+</w:t>
            </w:r>
            <w:proofErr w:type="gramEnd"/>
            <w:r w:rsidRPr="006830D7">
              <w:rPr>
                <w:rFonts w:eastAsia="Times New Roman" w:cstheme="minorHAnsi"/>
                <w:sz w:val="20"/>
                <w:szCs w:val="20"/>
              </w:rPr>
              <w:t>(R+NC+O)+e(UH+UO))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19CD" w14:textId="77777777" w:rsidR="006830D7" w:rsidRPr="006830D7" w:rsidRDefault="006830D7" w:rsidP="006830D7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830D7">
              <w:rPr>
                <w:rFonts w:eastAsia="Times New Roman" w:cstheme="minorHAnsi"/>
                <w:sz w:val="20"/>
                <w:szCs w:val="20"/>
              </w:rPr>
              <w:t>0.017</w:t>
            </w:r>
          </w:p>
        </w:tc>
      </w:tr>
    </w:tbl>
    <w:p w14:paraId="5C91073D" w14:textId="548CE128" w:rsidR="00125522" w:rsidRDefault="005018A3" w:rsidP="002A45C4">
      <w:pPr>
        <w:jc w:val="both"/>
      </w:pPr>
      <w:r>
        <w:t xml:space="preserve"> </w:t>
      </w:r>
    </w:p>
    <w:p w14:paraId="457B4ACA" w14:textId="77777777" w:rsidR="00125522" w:rsidRDefault="00125522" w:rsidP="002A45C4">
      <w:pPr>
        <w:jc w:val="both"/>
      </w:pPr>
    </w:p>
    <w:p w14:paraId="1736DE4B" w14:textId="07603AC7" w:rsidR="00C45951" w:rsidRPr="00C45951" w:rsidRDefault="0013722B" w:rsidP="001142B1">
      <w:pPr>
        <w:jc w:val="both"/>
      </w:pPr>
      <w:r w:rsidRPr="00C45951">
        <w:t>Quotas were applied for gender</w:t>
      </w:r>
      <w:r w:rsidR="00FF5C20">
        <w:t xml:space="preserve"> and age </w:t>
      </w:r>
      <w:r w:rsidRPr="00C45951">
        <w:t xml:space="preserve">based on </w:t>
      </w:r>
      <w:r w:rsidR="00F762C6" w:rsidRPr="00C45951">
        <w:t xml:space="preserve">universe counts </w:t>
      </w:r>
      <w:r w:rsidR="00DD2A26">
        <w:t xml:space="preserve">in tables 4b and 4c </w:t>
      </w:r>
      <w:r w:rsidR="00F762C6" w:rsidRPr="00C45951">
        <w:t xml:space="preserve">from the </w:t>
      </w:r>
      <w:hyperlink r:id="rId10" w:history="1">
        <w:r w:rsidR="00375411" w:rsidRPr="00C45951">
          <w:rPr>
            <w:rStyle w:val="Hyperlink"/>
          </w:rPr>
          <w:t>U.S. Census Report on Voting and Election in November 2018</w:t>
        </w:r>
      </w:hyperlink>
      <w:r w:rsidR="00375411" w:rsidRPr="00C45951">
        <w:t xml:space="preserve"> </w:t>
      </w:r>
      <w:r w:rsidRPr="00C45951">
        <w:t>to help ensure that the sample was representative o</w:t>
      </w:r>
      <w:r w:rsidR="00A216D1" w:rsidRPr="00C45951">
        <w:t xml:space="preserve">f registered voters. </w:t>
      </w:r>
      <w:r w:rsidR="00375411">
        <w:t>Region quotas were based on</w:t>
      </w:r>
      <w:r w:rsidR="00FF5C20">
        <w:t xml:space="preserve"> actual voter registration statistics provided by the Montana Secretary of State</w:t>
      </w:r>
      <w:r w:rsidR="00447C4D">
        <w:t xml:space="preserve"> (</w:t>
      </w:r>
      <w:hyperlink r:id="rId11" w:tgtFrame="_blank" w:history="1">
        <w:r w:rsidR="00CF100D">
          <w:rPr>
            <w:rStyle w:val="Hyperlink"/>
            <w:color w:val="1155CC"/>
          </w:rPr>
          <w:t>https://sosmt.gov/elections/</w:t>
        </w:r>
      </w:hyperlink>
      <w:r w:rsidR="00447C4D">
        <w:t>)</w:t>
      </w:r>
      <w:r w:rsidR="00FF5C20">
        <w:t xml:space="preserve">. </w:t>
      </w:r>
    </w:p>
    <w:p w14:paraId="624FAAAB" w14:textId="1BEECF64" w:rsidR="0013722B" w:rsidRDefault="0013722B" w:rsidP="001142B1">
      <w:pPr>
        <w:jc w:val="both"/>
      </w:pPr>
    </w:p>
    <w:p w14:paraId="3396ECEC" w14:textId="33F57AD5" w:rsidR="000D1E41" w:rsidRDefault="00DE7067" w:rsidP="001142B1">
      <w:pPr>
        <w:jc w:val="both"/>
      </w:pPr>
      <w:r w:rsidRPr="00DE7067">
        <w:t>The sample was weighted by party identification using the average of two modeled party scores applied to the voter file by two private vendors.</w:t>
      </w:r>
      <w:r>
        <w:t xml:space="preserve"> U</w:t>
      </w:r>
      <w:r w:rsidRPr="00DE7067">
        <w:t>nweighted self-reported educational attainment data was consistent with average modeled educational attainment based on these same two vendors</w:t>
      </w:r>
      <w:r w:rsidR="00EA2525">
        <w:t>.</w:t>
      </w:r>
    </w:p>
    <w:p w14:paraId="11B66DCD" w14:textId="77777777" w:rsidR="002F45E6" w:rsidRDefault="002F45E6" w:rsidP="002F45E6">
      <w:bookmarkStart w:id="0" w:name="_GoBack"/>
      <w:bookmarkEnd w:id="0"/>
    </w:p>
    <w:p w14:paraId="004D8DE1" w14:textId="1BF24137" w:rsidR="002F45E6" w:rsidRDefault="002F45E6" w:rsidP="002F45E6">
      <w:r>
        <w:t xml:space="preserve">For more information, contact </w:t>
      </w:r>
      <w:r>
        <w:t xml:space="preserve">Lori Weigel at </w:t>
      </w:r>
      <w:r w:rsidR="004503C3">
        <w:t>New Bridge Strategy (</w:t>
      </w:r>
      <w:hyperlink r:id="rId12" w:history="1">
        <w:r w:rsidR="004503C3" w:rsidRPr="00885876">
          <w:rPr>
            <w:rStyle w:val="Hyperlink"/>
          </w:rPr>
          <w:t>lori@newbridgestrategy.com</w:t>
        </w:r>
      </w:hyperlink>
      <w:r w:rsidR="004503C3">
        <w:t>).</w:t>
      </w:r>
    </w:p>
    <w:p w14:paraId="18CCB522" w14:textId="77777777" w:rsidR="002F45E6" w:rsidRDefault="002F45E6" w:rsidP="002A45C4">
      <w:pPr>
        <w:jc w:val="both"/>
      </w:pPr>
    </w:p>
    <w:sectPr w:rsidR="002F45E6" w:rsidSect="0038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CA6"/>
    <w:multiLevelType w:val="hybridMultilevel"/>
    <w:tmpl w:val="A9B8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0C"/>
    <w:rsid w:val="00030B98"/>
    <w:rsid w:val="00064CC0"/>
    <w:rsid w:val="000A26CB"/>
    <w:rsid w:val="000A4DCF"/>
    <w:rsid w:val="000C5A32"/>
    <w:rsid w:val="000D1E41"/>
    <w:rsid w:val="001142B1"/>
    <w:rsid w:val="00125522"/>
    <w:rsid w:val="001255A3"/>
    <w:rsid w:val="0013722B"/>
    <w:rsid w:val="001537CA"/>
    <w:rsid w:val="001A23B3"/>
    <w:rsid w:val="001A46DB"/>
    <w:rsid w:val="001C21C6"/>
    <w:rsid w:val="0022348E"/>
    <w:rsid w:val="0023338F"/>
    <w:rsid w:val="00270AE5"/>
    <w:rsid w:val="00273A7A"/>
    <w:rsid w:val="002A45C4"/>
    <w:rsid w:val="002B0973"/>
    <w:rsid w:val="002F308D"/>
    <w:rsid w:val="002F45E6"/>
    <w:rsid w:val="002F709C"/>
    <w:rsid w:val="00346A15"/>
    <w:rsid w:val="00375411"/>
    <w:rsid w:val="00381937"/>
    <w:rsid w:val="003E5F16"/>
    <w:rsid w:val="003F0914"/>
    <w:rsid w:val="003F1E0C"/>
    <w:rsid w:val="003F425A"/>
    <w:rsid w:val="004354D6"/>
    <w:rsid w:val="00443EB9"/>
    <w:rsid w:val="00447C4D"/>
    <w:rsid w:val="004503C3"/>
    <w:rsid w:val="00483B33"/>
    <w:rsid w:val="004849BB"/>
    <w:rsid w:val="005018A3"/>
    <w:rsid w:val="005374F9"/>
    <w:rsid w:val="0054130F"/>
    <w:rsid w:val="005452CD"/>
    <w:rsid w:val="005E1128"/>
    <w:rsid w:val="005E14FA"/>
    <w:rsid w:val="00601485"/>
    <w:rsid w:val="006830D7"/>
    <w:rsid w:val="00683792"/>
    <w:rsid w:val="006C6A5A"/>
    <w:rsid w:val="007001CC"/>
    <w:rsid w:val="007842ED"/>
    <w:rsid w:val="00790C52"/>
    <w:rsid w:val="007A3C6C"/>
    <w:rsid w:val="00840209"/>
    <w:rsid w:val="00844BAD"/>
    <w:rsid w:val="00845AE1"/>
    <w:rsid w:val="00873C1B"/>
    <w:rsid w:val="0087704D"/>
    <w:rsid w:val="00895F90"/>
    <w:rsid w:val="00935559"/>
    <w:rsid w:val="00935CD3"/>
    <w:rsid w:val="009503A3"/>
    <w:rsid w:val="00965372"/>
    <w:rsid w:val="00991DD1"/>
    <w:rsid w:val="009D3A7B"/>
    <w:rsid w:val="00A15483"/>
    <w:rsid w:val="00A216D1"/>
    <w:rsid w:val="00A32420"/>
    <w:rsid w:val="00A71D1D"/>
    <w:rsid w:val="00A86128"/>
    <w:rsid w:val="00B7754F"/>
    <w:rsid w:val="00C10948"/>
    <w:rsid w:val="00C45951"/>
    <w:rsid w:val="00C45FB7"/>
    <w:rsid w:val="00C61D99"/>
    <w:rsid w:val="00C62757"/>
    <w:rsid w:val="00CE42E5"/>
    <w:rsid w:val="00CF100D"/>
    <w:rsid w:val="00D04842"/>
    <w:rsid w:val="00D515EA"/>
    <w:rsid w:val="00D615A2"/>
    <w:rsid w:val="00DA75E0"/>
    <w:rsid w:val="00DD2A26"/>
    <w:rsid w:val="00DE7067"/>
    <w:rsid w:val="00E10F1E"/>
    <w:rsid w:val="00E61763"/>
    <w:rsid w:val="00E7376B"/>
    <w:rsid w:val="00EA2525"/>
    <w:rsid w:val="00EE07F5"/>
    <w:rsid w:val="00EF5BB5"/>
    <w:rsid w:val="00F02960"/>
    <w:rsid w:val="00F27354"/>
    <w:rsid w:val="00F762C6"/>
    <w:rsid w:val="00F90D02"/>
    <w:rsid w:val="00F93AA7"/>
    <w:rsid w:val="00FA50F2"/>
    <w:rsid w:val="00FB0AAA"/>
    <w:rsid w:val="00FB6BD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EC95"/>
  <w14:defaultImageDpi w14:val="32767"/>
  <w15:chartTrackingRefBased/>
  <w15:docId w15:val="{09631B18-E649-434E-AD87-483ABAB0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6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4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D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B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93AA7"/>
  </w:style>
  <w:style w:type="table" w:styleId="TableGrid">
    <w:name w:val="Table Grid"/>
    <w:basedOn w:val="TableNormal"/>
    <w:uiPriority w:val="39"/>
    <w:rsid w:val="00F0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i@newbridgestrateg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smt.gov/election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ensus.gov/data/tables/time-series/demo/voting-and-registration/p20-583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apor.org/AAPOR_Main/media/publications/Standard-Definitions20169theditionfinal.p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51A8150C8414AA3FFF7872092060C" ma:contentTypeVersion="12" ma:contentTypeDescription="Create a new document." ma:contentTypeScope="" ma:versionID="3907d88849b720921eba64ebba714cbd">
  <xsd:schema xmlns:xsd="http://www.w3.org/2001/XMLSchema" xmlns:xs="http://www.w3.org/2001/XMLSchema" xmlns:p="http://schemas.microsoft.com/office/2006/metadata/properties" xmlns:ns3="6fe91da5-ec08-41f2-973d-8aab19e8ae3a" xmlns:ns4="c2267f7c-fbf3-4ccb-bf0e-74c1799ecf83" targetNamespace="http://schemas.microsoft.com/office/2006/metadata/properties" ma:root="true" ma:fieldsID="d3c32032aa7ffd9db1d393f7f979f696" ns3:_="" ns4:_="">
    <xsd:import namespace="6fe91da5-ec08-41f2-973d-8aab19e8ae3a"/>
    <xsd:import namespace="c2267f7c-fbf3-4ccb-bf0e-74c1799ec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1da5-ec08-41f2-973d-8aab19e8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7f7c-fbf3-4ccb-bf0e-74c1799e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86F6-181E-4698-8ED6-5758F51CD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91da5-ec08-41f2-973d-8aab19e8ae3a"/>
    <ds:schemaRef ds:uri="c2267f7c-fbf3-4ccb-bf0e-74c1799ec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F8A74-9B86-4DD4-89E6-0BF5B6EBB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3BAC2-4E79-425C-B993-0EB3D7E75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AD5AC-1A3A-479F-90CA-B75C066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Hahne</dc:creator>
  <cp:keywords/>
  <dc:description/>
  <cp:lastModifiedBy>Sarah Spell</cp:lastModifiedBy>
  <cp:revision>24</cp:revision>
  <dcterms:created xsi:type="dcterms:W3CDTF">2020-12-08T22:50:00Z</dcterms:created>
  <dcterms:modified xsi:type="dcterms:W3CDTF">2020-12-10T19:57:00Z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0x0101000D551A8150C8414AA3FFF7872092060C</vt:lpwstr>
  </property>
</Properties>
</file>